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внеурочной деятельности по русскому языку</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внеурочной деятельности по русскому языку»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«Организация внеурочной деятельности по русскому языку».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внеурочной деятельности по русскому языку»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дополнительные общеобразовательные общеразвивающие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методику реализации дополнительных общеобразовательных программ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современные методы, формы, способы и приемы обучения дополнительным общеобразовательным программам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планировать образовательный процесс при реализации дополнительных общеобразовательных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применять современные методы, формы, способы и приемы  при обучении дополнительным общеобразовательным программам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современными методами, формами, способами и приемами при обучении дополнительным общеобразовательным программам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«Организация внеурочной деятельности по русскому языку» относится к обязательной части, является дисциплиной Блока Б1. «Дисциплины (модули)». Модуль "Педагог дополнительного образования" основной профессиональной образовательной программы высшего образования - бакалавриат по направлению подготовки 45.03.01 Филология.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037.79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Коммуникативный практикум</w:t>
            </w:r>
          </w:p>
          <w:p>
            <w:pPr>
              <w:jc w:val="center"/>
              <w:spacing w:after="0" w:line="240" w:lineRule="auto"/>
              <w:rPr>
                <w:sz w:val="22"/>
                <w:szCs w:val="22"/>
              </w:rPr>
            </w:pPr>
            <w:r>
              <w:rPr>
                <w:rFonts w:ascii="Times New Roman" w:hAnsi="Times New Roman" w:cs="Times New Roman"/>
                <w:color w:val="#000000"/>
                <w:sz w:val="22"/>
                <w:szCs w:val="22"/>
              </w:rPr>
              <w:t> Лингвистический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Основы проектной деятельности</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История русского языка</w:t>
            </w:r>
          </w:p>
          <w:p>
            <w:pPr>
              <w:jc w:val="center"/>
              <w:spacing w:after="0" w:line="240" w:lineRule="auto"/>
              <w:rPr>
                <w:sz w:val="22"/>
                <w:szCs w:val="22"/>
              </w:rPr>
            </w:pPr>
            <w:r>
              <w:rPr>
                <w:rFonts w:ascii="Times New Roman" w:hAnsi="Times New Roman" w:cs="Times New Roman"/>
                <w:color w:val="#000000"/>
                <w:sz w:val="22"/>
                <w:szCs w:val="22"/>
              </w:rPr>
              <w:t> Общее языкознание</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внеурочной работы по русскому языку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внеурочной работы по русскому языку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605.9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Современные концепции воспитания в школе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концепции воспитания в школе (И.П. Иванов, Н.Е. Щуркова и др.). Воспитание и система воспитательной работы в современной школе. Создание воспитывающей среды. Традиционные и творческие формы организации воспитательного процесса и внеурочной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организации внеурочной работы по учебным предметам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Групповые внеурочные занятия  и их формы.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Современные концепции воспитания в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воспитательной работы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воспитательной работы: цели и стратегические задачи воспитания, методики психолого-педагогического изучения классного коллектива и личности школьника. Диагностика направленности детских интересов, способностей, анализ и использование результатов диагностики в деятельности классного руководителя и учителя-предметника. Виды и содержание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организации внеурочной работы по учебным предметам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организации внеурочной работы по учебным предметам. Актуализация внеурочной работы в современной школе. Классификация видов и форм внеурочных занятий, принципы организации внеурочных занятий школьников по русскому языку. Планирование воспитательной работы: цели и стратегические задачи воспитания, методики психолого-педагогического изучения классного коллектива и личности школьника. Диагностика направленности детских интересов, способностей, анализ и использование результатов диагностики в деятельности классного руководителя и учителя-предметника. Виды и содержание планирования.. Диагностика читательских и познавательных интересов учащихся. Практика построения неформальных отношений и общения со школьниками различных возрастных групп во внеурочной работе. Взаимодействие учителя и учащихся в процессе внеклассной работы.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Система внеурочной работы по русскому языку в средней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организации внеурочной работы по учебным предметам. Актуализация внеурочной работы в современной школе. Классификация видов и форм внеурочных занятий, принципы организации внеурочных занятий школьников по русскому языку. Диагностика читательских и познавательных интересов учащихся. Практика построения неформальных отношений и общения со школьниками различных возрастных групп во внеурочной работе. Взаимодействие учителя и учащихся в процессе внеклассной работы.</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Массовая внеурочная работа, особенности её организации и содержания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Проведение предметной недели в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эффективности различных форм массовых мероприятий. Разработка сценария тематического вечера (карнавала, шоу) по русскому языку. Проведение школьной конференции по учебному предмету, создание вариантов программ проведения предметных недель. Разработка сценариев познавательных игр, конкурсов по учебным предметам. Содержание и структура предметных олимпиад. Организация олимпиады, подготовка материалов к школьной олимпиаде по русскому языку.</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внеурочной деятельности по русскому языку» / Безденежных М.А..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978-5-9925-1121-5.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http://www.iprbookshop.ru/68593.html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Организационно-педагогическое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https://urait.ru/bcode/438324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Мухамедьярова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https://urait.ru/bcode/436482</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поэтического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пушкинской</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Филологические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Пеньковский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Пильщиков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поэтического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пушкинской</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Филологические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Знак,</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8-978-9551-0498-0.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http://www.iprbookshop.ru/14963.html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2178.3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интернете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Ахапкина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Бердичевский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Бонч-Осмоловская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Буйлова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Выналек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Галямина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Геккина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Занадворова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Зевахина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Иомдин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Иткин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Летучий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Ляшевская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Магомедова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Орехов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Оскольская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Переверзева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Плисецкая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Резникова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Решетников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Северская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Слюсарь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Таратынов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Худякова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Ахапкина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Рахилина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Языки</w:t>
            </w:r>
            <w:r>
              <w:rPr/>
              <w:t xml:space="preserve"> </w:t>
            </w:r>
            <w:r>
              <w:rPr>
                <w:rFonts w:ascii="Times New Roman" w:hAnsi="Times New Roman" w:cs="Times New Roman"/>
                <w:color w:val="#000000"/>
                <w:sz w:val="24"/>
                <w:szCs w:val="24"/>
              </w:rPr>
              <w:t>славянской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978-5-9551-0722-6.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http://www.iprbookshop.ru/35704.html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Метапредметное</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https://urait.ru/bcode/495142</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679.1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898.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5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283.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2023-2024_ФГОС3++2023_Бак-ЗФО-Ф(Ф)(23)_plx_Организация внеурочной деятельности по русскому языку</dc:title>
  <dc:creator>FastReport.NET</dc:creator>
</cp:coreProperties>
</file>